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Zentrales Sicherheitsstromversorgungssystem MC ohne Leistungsbegrenzung gem. </w:t>
      </w:r>
    </w:p>
    <w:p>
      <w:pPr/>
      <w:r>
        <w:rPr/>
        <w:t xml:space="preserve">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mit individueller Zustandsanzeige pro Leuchte im Steuerteil in Verbindung mit systemgebundenen elektronischen Vorschaltgeräten einschließlich Überwachungs-baustein ohne zusätzliche Datenleitung. </w:t>
      </w:r>
    </w:p>
    <w:p>
      <w:pPr/>
      <w:r>
        <w:rPr/>
        <w:t xml:space="preserve">Nennbetriebsdauer *: 1h; 3h; 8h * Zutreffendes bitte unterstreichen! </w:t>
      </w:r>
    </w:p>
    <w:p>
      <w:pPr/>
      <w:r>
        <w:rPr/>
        <w:t xml:space="preserve">Wiederaufladezeit: 12 h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und der zur normgerechten Aufladung der Batterie erforderlichen Anzahl von Ladeteilen.</w:t>
      </w:r>
    </w:p>
    <w:p>
      <w:pPr/>
      <w:r>
        <w:rPr/>
        <w:t xml:space="preserve"> </w:t>
      </w:r>
    </w:p>
    <w:p>
      <w:pPr/>
      <w:r>
        <w:rPr/>
        <w:t xml:space="preserve">Für die Aufnahme von bis zu max. 60 variablen Stromkreisbaugruppen, max. 3 Stück Ladebaugruppe (à 2,5A).</w:t>
      </w:r>
    </w:p>
    <w:p>
      <w:pPr/>
      <w:r>
        <w:rPr/>
        <w:t xml:space="preserve">Lasttrennschalter (D02) für Netz- und Batterieeinspeisung (Neozed D02), Anschlussquerschnitt standardmäßig 16 mm².</w:t>
      </w:r>
    </w:p>
    <w:p>
      <w:pPr/>
      <w:r>
        <w:rPr/>
        <w:t xml:space="preserve"> </w:t>
      </w:r>
    </w:p>
    <w:p>
      <w:pPr/>
      <w:r>
        <w:rPr/>
        <w:t xml:space="preserve">Stahlblech-Kombischrank, mit partiell abgeschotteten Elektronik- und Batteriefach inkl. 50 mm Sockel, für bis zu 18 Stück OGIV-Batterien max. 110 Ah</w:t>
      </w:r>
    </w:p>
    <w:p>
      <w:pPr/>
      <w:r>
        <w:rPr/>
        <w:t xml:space="preserve">Abmessungen:	H=1850 mm, B=800 mm, T=600 mm</w:t>
      </w:r>
    </w:p>
    <w:p>
      <w:pPr/>
      <w:r>
        <w:rPr/>
        <w:t xml:space="preserve">Schutzart:		Elektronikschrank IP 21, Schutzklasse I</w:t>
      </w:r>
    </w:p>
    <w:p>
      <w:pPr/>
      <w:r>
        <w:rPr/>
        <w:t xml:space="preserve">Kabeleinführung:	Standard von oben</w:t>
      </w:r>
    </w:p>
    <w:p>
      <w:pPr/>
      <w:r>
        <w:rPr/>
        <w:t xml:space="preserve">Außenlackierung: 	Struktur Pulverlack</w:t>
      </w:r>
    </w:p>
    <w:p>
      <w:pPr/>
      <w:r>
        <w:rPr/>
        <w:t xml:space="preserve">Farbton:		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2026-05-12T07:50:15+02:00</dcterms:created>
  <dcterms:modified xsi:type="dcterms:W3CDTF">2026-05-12T07:50:15+02:00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