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3,3 W W</w:t>
      </w:r>
    </w:p>
    <w:p>
      <w:pPr/>
      <w:r>
        <w:rPr/>
        <w:t xml:space="preserve">Leistung Bereitschaftsbetrieb: 1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ZAW013SC-AZ-COOLIP54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3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2026-07-22T14:28:24+02:00</dcterms:created>
  <dcterms:modified xsi:type="dcterms:W3CDTF">2026-07-22T14:28:24+02:00</dcterms:modified>
</cp:coreProperties>
</file>

<file path=docProps/custom.xml><?xml version="1.0" encoding="utf-8"?>
<Properties xmlns="http://schemas.openxmlformats.org/officeDocument/2006/custom-properties" xmlns:vt="http://schemas.openxmlformats.org/officeDocument/2006/docPropsVTypes"/>
</file>