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zur Wandeinbaumontage. Die Zink-Druckguss-Blende wird ohne von außen sichtbare Befestigung arretiert. Die in der Linse eingebrachte Status-LED integriert sich in die Gehäuseharmonie.</w:t>
      </w:r>
      <w:b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90 mm x 19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5,2 W W</w:t>
      </w:r>
    </w:p>
    <w:p>
      <w:pPr/>
      <w:r>
        <w:rPr/>
        <w:t xml:space="preserve">Leistung Bereitschaftsbetrieb: 3,8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NIMHHT4820Q, {{Produkt - BatteryPerformance - BatteryTechnology (P:17:110)}} Batterie</w:t>
      </w:r>
    </w:p>
    <w:p>
      <w:pPr/>
    </w:p>
    <w:p>
      <w:pPr/>
      <w:r>
        <w:rPr/>
        <w:t xml:space="preserve">Artikelnummer: WER023WL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B12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2026-07-28T02:07:10+02:00</dcterms:created>
  <dcterms:modified xsi:type="dcterms:W3CDTF">2026-07-28T02:07:10+02:00</dcterms:modified>
</cp:coreProperties>
</file>

<file path=docProps/custom.xml><?xml version="1.0" encoding="utf-8"?>
<Properties xmlns="http://schemas.openxmlformats.org/officeDocument/2006/custom-properties" xmlns:vt="http://schemas.openxmlformats.org/officeDocument/2006/docPropsVTypes"/>
</file>