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 </w:t>
      </w:r>
      <w:br/>
      <w:r>
        <w:rPr/>
        <w:t xml:space="preserve">Gehäusefarbe nach Wahl alu-eloxiert oder weiß</w:t>
      </w:r>
      <w:br/>
      <w:r>
        <w:rPr/>
        <w:t xml:space="preserve">Lichtfarbe nach Wahl 4000 K oder 3000 K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30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27,2 W W</w:t>
      </w:r>
    </w:p>
    <w:p>
      <w:pPr/>
      <w:r>
        <w:rPr/>
        <w:t xml:space="preserve">Leistung Bereitschaftsbetrieb: 1,2 W W</w:t>
      </w:r>
    </w:p>
    <w:p>
      <w:pPr/>
      <w:r>
        <w:rPr/>
        <w:t xml:space="preserve">Lichtstrom Notbetrieb: 360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QAW029ML-BMWW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D1F7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2026-07-16T05:18:16+02:00</dcterms:created>
  <dcterms:modified xsi:type="dcterms:W3CDTF">2026-07-16T05:18:16+02:00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