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IP20 (für die Aufbauversion). Gehäuse aus Kunststoff (PC) und passivem Aluminiumkühler. Diffusor aus Kunststoff, opal. Betriebsgerät schaltbar oder DALI dimmbar, extern (integriert bei der Aufbauversion). Ausführung mit Casambi Bluetooth Steuerung verfügbar. DC Tauglichkeit auf Anfrage.</w:t>
      </w:r>
      <w:br/>
    </w:p>
    <w:p>
      <w:pPr/>
    </w:p>
    <w:p>
      <w:pPr/>
      <w:r>
        <w:rPr/>
        <w:t xml:space="preserve">Maße:</w:t>
      </w:r>
    </w:p>
    <w:p>
      <w:pPr/>
      <w:r>
        <w:rPr/>
        <w:t xml:space="preserve">Höhe: 260 mm</w:t>
      </w:r>
    </w:p>
    <w:p>
      <w:pPr/>
      <w:r>
        <w:rPr/>
        <w:t xml:space="preserve">Durchmesser: 172 mm</w:t>
      </w:r>
    </w:p>
    <w:p>
      <w:pPr/>
    </w:p>
    <w:p>
      <w:pPr/>
      <w:r>
        <w:rPr/>
        <w:t xml:space="preserve">Farbe:</w:t>
      </w:r>
    </w:p>
    <w:p>
      <w:pPr/>
    </w:p>
    <w:p>
      <w:pPr/>
      <w:r>
        <w:rPr/>
        <w:t xml:space="preserve">Gehäusematerial:</w:t>
      </w:r>
    </w:p>
    <w:p>
      <w:pPr/>
    </w:p>
    <w:p>
      <w:pPr/>
      <w:r>
        <w:rPr/>
        <w:t xml:space="preserve">Zertifizierung:</w:t>
      </w:r>
    </w:p>
    <w:p>
      <w:pPr/>
      <w:r>
        <w:rPr/>
        <w:t xml:space="preserve">Schutzart (IP): IP 20</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2450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2026-03-20T08:24:35+01:00</dcterms:created>
  <dcterms:modified xsi:type="dcterms:W3CDTF">2026-03-20T08:24:35+01:00</dcterms:modified>
</cp:coreProperties>
</file>

<file path=docProps/custom.xml><?xml version="1.0" encoding="utf-8"?>
<Properties xmlns="http://schemas.openxmlformats.org/officeDocument/2006/custom-properties" xmlns:vt="http://schemas.openxmlformats.org/officeDocument/2006/docPropsVTypes"/>
</file>