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vielseitige LED-Leuchte der Serie MAVS bietet höchste Beleuchtungsqualität mit 4350 Lumen bei 3000K (CRI &gt;80). Das robuste, pulverbeschichtete Aluminiumgehäuse in Weiß und der UV-stabilisierte PMMA-Diffusor gewährleisten Langlebigkeit (IP40). Das integrierte Betriebsgerät ist standardmäßig schaltbar und DC-tauglich. Die Leuchte bietet maximale Flexibilität durch optionale Ausführungen mit DALI-Dimmung oder Casambi Bluetooth Steuerung.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1415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119 mm</w:t>
      </w:r>
    </w:p>
    <w:p>
      <w:pPr/>
      <w:r>
        <w:rPr/>
        <w:t xml:space="preserve">Höhe: 74 mm</w:t>
      </w:r>
    </w:p>
    <w:p>
      <w:pPr/>
      <w:r>
        <w:rPr/>
        <w:t xml:space="preserve">Tiefe: 1600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44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4350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2026-03-17T08:27:58+01:00</dcterms:created>
  <dcterms:modified xsi:type="dcterms:W3CDTF">2026-03-17T08:27:58+01:00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