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MAVS zeichnet sich durch ihr robustes, pulverbeschichtetes Aluminiumgehäuse (weiß) aus. Der opale Diffusor aus UV-stabilisiertem PMMA-Kunststoff sorgt für eine gleichmäßige Lichtverteilung von 6100 Lumen. Dank der standardmäßig integrierten, schaltbaren Betriebsgeräte – mit optionaler DALI-Dimmbarkeit oder Casambi Bluetooth Steuerung – ist die Leuchte hochflexibel in professionellen Umgebungen einsetzbar und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59 mm</w:t>
      </w:r>
    </w:p>
    <w:p>
      <w:pPr/>
      <w:r>
        <w:rPr/>
        <w:t xml:space="preserve">Höhe: 79 mm</w:t>
      </w:r>
    </w:p>
    <w:p>
      <w:pPr/>
      <w:r>
        <w:rPr/>
        <w:t xml:space="preserve">Tiefe: 1975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123 mm</w:t>
      </w:r>
    </w:p>
    <w:p>
      <w:pPr/>
      <w:r>
        <w:rPr/>
        <w:t xml:space="preserve">Höhe: 101 mm</w:t>
      </w:r>
    </w:p>
    <w:p>
      <w:pPr/>
      <w:r>
        <w:rPr/>
        <w:t xml:space="preserve">Tiefe: 2010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61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6100 lm</w:t>
      </w:r>
    </w:p>
    <w:p>
      <w:pPr/>
      <w:r>
        <w:rPr/>
        <w:t xml:space="preserve">Farbtemperatur: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2026-03-17T08:27:58+01:00</dcterms:created>
  <dcterms:modified xsi:type="dcterms:W3CDTF">2026-03-17T08:27:58+01:00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