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LED-Decken- und Wandleuchte, Serie MAVS. Gehäuse aus Aluminium, weiß, pulverbeschichtet. Diffusor Kunststoff (PMMA) opal, UV-stabilisiert. Betriebsgerät schaltbar oder DALI dimmbar, integriert. Ausführung mit Casambi Bluetooth Steuerung verfügbar. DC 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79 mm</w:t>
      </w:r>
    </w:p>
    <w:p>
      <w:pPr/>
      <w:r>
        <w:rPr/>
        <w:t xml:space="preserve">Höhe: 79 mm</w:t>
      </w:r>
    </w:p>
    <w:p>
      <w:pPr/>
      <w:r>
        <w:rPr/>
        <w:t xml:space="preserve">Tiefe: 585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118 mm</w:t>
      </w:r>
    </w:p>
    <w:p>
      <w:pPr/>
      <w:r>
        <w:rPr/>
        <w:t xml:space="preserve">Höhe: 75 mm</w:t>
      </w:r>
    </w:p>
    <w:p>
      <w:pPr/>
      <w:r>
        <w:rPr/>
        <w:t xml:space="preserve">Tiefe: 690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17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1700 lm</w:t>
      </w:r>
    </w:p>
    <w:p>
      <w:pPr/>
      <w:r>
        <w:rPr/>
        <w:t xml:space="preserve">Farbtemperatur: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2026-03-17T08:27:47+01:00</dcterms:created>
  <dcterms:modified xsi:type="dcterms:W3CDTF">2026-03-17T08:27:47+01:00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