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Durchmesser: 104 mm</w:t>
      </w:r>
    </w:p>
    <w:p>
      <w:pPr/>
    </w:p>
    <w:p>
      <w:pPr/>
      <w:r>
        <w:rPr/>
        <w:t xml:space="preserve">Schutzklasse: 2</w:t>
      </w:r>
    </w:p>
    <w:p>
      <w:pPr/>
      <w:r>
        <w:rPr/>
        <w:t xml:space="preserve">Schutzart (IP): IP 40</w:t>
      </w:r>
    </w:p>
    <w:p>
      <w:pPr/>
      <w:r>
        <w:rPr/>
        <w:t xml:space="preserve">Stoßfestigkeitsgrad IK: IK ≥ 3</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EARF021WB-AZ</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3E4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2026-07-26T05:24:14+02:00</dcterms:created>
  <dcterms:modified xsi:type="dcterms:W3CDTF">2026-07-26T05:24:14+02:00</dcterms:modified>
</cp:coreProperties>
</file>

<file path=docProps/custom.xml><?xml version="1.0" encoding="utf-8"?>
<Properties xmlns="http://schemas.openxmlformats.org/officeDocument/2006/custom-properties" xmlns:vt="http://schemas.openxmlformats.org/officeDocument/2006/docPropsVTypes"/>
</file>