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mit integriertem Bewegungsmelder und Ausleuchtung der Flucht- und Rettungswege nach DIN EN 60598-1, DIN EN 60598-2-22 und DIN EN 1838.</w:t>
      </w:r>
      <w:br/>
      <w:br/>
      <w:r>
        <w:rPr/>
        <w:t xml:space="preserve">In zeitlosem Design, geeignet für Innenanwendung.  Über den von außen nicht sichtbaren Bewegungsmelder wird das Allgemeinlicht unabhängig vom Notlicht geschaltet.</w:t>
      </w:r>
      <w:br/>
      <w:r>
        <w:rPr/>
        <w:t xml:space="preserve">Ausführung in der Farbe Weiß.</w:t>
      </w:r>
    </w:p>
    <w:p>
      <w:pPr/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0,5 W W</w:t>
      </w:r>
    </w:p>
    <w:p>
      <w:pPr/>
      <w:r>
        <w:rPr/>
        <w:t xml:space="preserve">Lichtstrom Notbetrieb: 1800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QBW009-BM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2026-10-23T05:19:48+02:00</dcterms:created>
  <dcterms:modified xsi:type="dcterms:W3CDTF">2026-10-23T05:19:48+02:00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