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mit integriertem Bewegungsmelder und Ausleuchtung der Flucht- und Rettungswege nach DIN EN 60598-1, DIN EN 60598-2-22 und DIN EN 1838.</w:t>
      </w:r>
      <w:br/>
      <w:br/>
      <w:r>
        <w:rPr/>
        <w:t xml:space="preserve">In zeitlosem Design, geeignet für Innenanwendung. Über den von außen nicht sichtbaren Bewegungsmelder wird das Allgemeinlicht unabhängig vom Notlicht geschaltet.</w:t>
      </w:r>
      <w:br/>
      <w:r>
        <w:rPr/>
        <w:t xml:space="preserve">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1800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QBW009ML-BM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B76F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2026-07-07T05:27:02+02:00</dcterms:created>
  <dcterms:modified xsi:type="dcterms:W3CDTF">2026-07-07T05:27:02+02:00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