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72(96) variablen Stromkreisbaugruppen sowie  10(6)Ladebaugruppen (à 2,5A).</w:t>
      </w:r>
    </w:p>
    <w:p>
      <w:pPr/>
      <w:r>
        <w:rPr/>
        <w:t xml:space="preserve">Lasttrennschalter (D02) für Netz- und Batterieeinspeisung (Neozed D02), Anschlussquerschnitt standardmäßig 16mm².</w:t>
      </w:r>
    </w:p>
    <w:p>
      <w:pPr/>
      <w:r>
        <w:rPr/>
        <w:t xml:space="preserve"> </w:t>
      </w:r>
    </w:p>
    <w:p>
      <w:pPr/>
      <w:r>
        <w:rPr/>
        <w:t xml:space="preserve">- Stck. Stahlblech-Standschrank als Elektronikschrank zzgl. 100 mm Sockel</w:t>
      </w:r>
    </w:p>
    <w:p>
      <w:pPr/>
      <w:r>
        <w:rPr/>
        <w:t xml:space="preserve"> </w:t>
      </w:r>
    </w:p>
    <w:p>
      <w:pPr/>
      <w:r>
        <w:rPr/>
        <w:t xml:space="preserve">Abmessungen:	Höhe 1800 x Breite 600 x Tiefe 450 mm </w:t>
      </w:r>
    </w:p>
    <w:p>
      <w:pPr/>
      <w:r>
        <w:rPr/>
        <w:t xml:space="preserve">Schutzart:		Elektronikschrank IP 21, Schutzklasse I</w:t>
      </w:r>
    </w:p>
    <w:p>
      <w:pPr/>
      <w:r>
        <w:rPr/>
        <w:t xml:space="preserve">Kabeleinführung:	Standard von oben, optional auch von unten</w:t>
      </w:r>
    </w:p>
    <w:p>
      <w:pPr/>
      <w:r>
        <w:rPr/>
        <w:t xml:space="preserve">Türanschlag:  	links, 2x Doppelbartschließung</w:t>
      </w:r>
    </w:p>
    <w:p>
      <w:pPr/>
      <w:r>
        <w:rPr/>
        <w:t xml:space="preserve">Außenlackierung: Struktur Pulverlack</w:t>
      </w:r>
    </w:p>
    <w:p>
      <w:pPr/>
      <w:r>
        <w:rPr/>
        <w:t xml:space="preserve">Farbton:	                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2023-12-11T16:11:47+01:00</dcterms:created>
  <dcterms:modified xsi:type="dcterms:W3CDTF">2023-12-11T16:11:47+01:00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