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Installationsdosen. 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10m.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Zink-Druckguss</w:t>
      </w:r>
    </w:p>
    <w:p>
      <w:pPr/>
      <w:r>
        <w:rPr/>
        <w:t xml:space="preserve">Farbe: RAL 9003</w:t>
      </w:r>
    </w:p>
    <w:p>
      <w:pPr/>
      <w:r>
        <w:rPr/>
        <w:t xml:space="preserve">Maße: 90 mm x 19 mm x 90 mm</w:t>
      </w:r>
    </w:p>
    <w:p>
      <w:pPr/>
    </w:p>
    <w:p>
      <w:pPr/>
      <w:r>
        <w:rPr/>
        <w:t xml:space="preserve">Montageart: Wandeinbau</w:t>
      </w:r>
    </w:p>
    <w:p>
      <w:pPr/>
      <w:r>
        <w:rPr/>
        <w:t xml:space="preserve">Schutzklasse: 3</w:t>
      </w:r>
    </w:p>
    <w:p>
      <w:pPr/>
      <w:r>
        <w:rPr/>
        <w:t xml:space="preserve">Schutzart (IP): IP 20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1,5 W W</w:t>
      </w:r>
    </w:p>
    <w:p>
      <w:pPr/>
      <w:r>
        <w:rPr/>
        <w:t xml:space="preserve">Leistung Bereitschaftsbetrieb: 0,4 W W</w:t>
      </w:r>
    </w:p>
    <w:p>
      <w:pPr/>
      <w:r>
        <w:rPr/>
        <w:t xml:space="preserve">Lichtstrom Notbetrieb: 140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WER529CC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844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2026-07-08T05:32:10+02:00</dcterms:created>
  <dcterms:modified xsi:type="dcterms:W3CDTF">2026-07-08T05:32:10+02:00</dcterms:modified>
</cp:coreProperties>
</file>

<file path=docProps/custom.xml><?xml version="1.0" encoding="utf-8"?>
<Properties xmlns="http://schemas.openxmlformats.org/officeDocument/2006/custom-properties" xmlns:vt="http://schemas.openxmlformats.org/officeDocument/2006/docPropsVTypes"/>
</file>