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Edelstahl</w:t>
      </w:r>
    </w:p>
    <w:p>
      <w:pPr/>
      <w:r>
        <w:rPr/>
        <w:t xml:space="preserve">Maße: 20 mm x 161 mm x 107 mm</w:t>
      </w:r>
    </w:p>
    <w:p>
      <w:pPr/>
    </w:p>
    <w:p>
      <w:pPr/>
      <w:r>
        <w:rPr/>
        <w:t xml:space="preserve">Montageart: Wandeinbau</w:t>
      </w:r>
    </w:p>
    <w:p>
      <w:pPr/>
      <w:r>
        <w:rPr/>
        <w:t xml:space="preserve">Schutzklasse: 3</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0,4 W W</w:t>
      </w:r>
    </w:p>
    <w:p>
      <w:pPr/>
      <w:r>
        <w:rPr/>
        <w:t xml:space="preserve">Lichtstrom Notbetrieb: 420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WEF529CC-E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559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2026-07-31T06:20:05+02:00</dcterms:created>
  <dcterms:modified xsi:type="dcterms:W3CDTF">2026-07-31T06:20:05+02:00</dcterms:modified>
</cp:coreProperties>
</file>

<file path=docProps/custom.xml><?xml version="1.0" encoding="utf-8"?>
<Properties xmlns="http://schemas.openxmlformats.org/officeDocument/2006/custom-properties" xmlns:vt="http://schemas.openxmlformats.org/officeDocument/2006/docPropsVTypes"/>
</file>