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5,7 W W</w:t>
      </w:r>
    </w:p>
    <w:p>
      <w:pPr/>
      <w:r>
        <w:rPr/>
        <w:t xml:space="preserve">Leistung Bereitschaftsbetrieb: 0,8 W W</w:t>
      </w:r>
    </w:p>
    <w:p>
      <w:pPr/>
      <w:r>
        <w:rPr/>
        <w:t xml:space="preserve">Lichtstrom Notbetrieb: 245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WFXW418WL</w:t>
      </w:r>
    </w:p>
    <w:p>
      <w:pPr/>
    </w:p>
    <w:p>
      <w:pPr/>
      <w:r>
        <w:rPr/>
        <w:t xml:space="preserve">Zubehör:</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E06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2026-09-30T06:06:43+02:00</dcterms:created>
  <dcterms:modified xsi:type="dcterms:W3CDTF">2026-09-30T06:06:43+02:00</dcterms:modified>
</cp:coreProperties>
</file>

<file path=docProps/custom.xml><?xml version="1.0" encoding="utf-8"?>
<Properties xmlns="http://schemas.openxmlformats.org/officeDocument/2006/custom-properties" xmlns:vt="http://schemas.openxmlformats.org/officeDocument/2006/docPropsVTypes"/>
</file>