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 W W</w:t>
      </w:r>
    </w:p>
    <w:p>
      <w:pPr/>
      <w:r>
        <w:rPr/>
        <w:t xml:space="preserve">Leistung Bereitschaftsbetrieb: 0,35 W W</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PMW001SC</w:t>
      </w:r>
    </w:p>
    <w:p>
      <w:pPr/>
    </w:p>
    <w:p>
      <w:pPr/>
      <w:r>
        <w:rPr/>
        <w:t xml:space="preserve">Zubehör:</w:t>
      </w:r>
    </w:p>
    <w:p>
      <w:pPr/>
      <w:r>
        <w:rPr/>
        <w:t xml:space="preserve">Artikelnummer: PME, Einbaurahmen für Leuchtentyp PMW und  PMD</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58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2026-07-23T18:59:21+02:00</dcterms:created>
  <dcterms:modified xsi:type="dcterms:W3CDTF">2026-07-23T18:59:21+02:00</dcterms:modified>
</cp:coreProperties>
</file>

<file path=docProps/custom.xml><?xml version="1.0" encoding="utf-8"?>
<Properties xmlns="http://schemas.openxmlformats.org/officeDocument/2006/custom-properties" xmlns:vt="http://schemas.openxmlformats.org/officeDocument/2006/docPropsVTypes"/>
</file>