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Kunststoff</w:t>
      </w:r>
    </w:p>
    <w:p>
      <w:pPr/>
      <w:r>
        <w:rPr/>
        <w:t xml:space="preserve">Farbe: RAL 9003</w:t>
      </w:r>
    </w:p>
    <w:p>
      <w:pPr/>
      <w:r>
        <w:rPr/>
        <w:t xml:space="preserve">Maße: 80.9 mm x 317.5 mm x 233.5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3,4 W W</w:t>
      </w:r>
    </w:p>
    <w:p>
      <w:pPr/>
      <w:r>
        <w:rPr/>
        <w:t xml:space="preserve">Leistung Bereitschaftsbetrieb: 0,4 W W</w:t>
      </w:r>
    </w:p>
    <w:p>
      <w:pPr/>
      <w:r>
        <w:rPr/>
        <w:t xml:space="preserve">Lichtstrom Notbetrieb: 230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GAXD509CC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C7FF9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2026-10-01T05:35:21+02:00</dcterms:created>
  <dcterms:modified xsi:type="dcterms:W3CDTF">2026-10-01T05:35:21+02:00</dcterms:modified>
</cp:coreProperties>
</file>

<file path=docProps/custom.xml><?xml version="1.0" encoding="utf-8"?>
<Properties xmlns="http://schemas.openxmlformats.org/officeDocument/2006/custom-properties" xmlns:vt="http://schemas.openxmlformats.org/officeDocument/2006/docPropsVTypes"/>
</file>