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(Wand/Decke). </w:t>
      </w:r>
      <w:br/>
      <w:r>
        <w:rPr/>
        <w:t xml:space="preserve">Geeignet für Dauer- oder Bereitschaftsschaltung. Planungssicherheit durch werkzeuglosen, variablen Einsatz der Piktogramme vor Ort. </w:t>
      </w:r>
      <w:br/>
      <w:r>
        <w:rPr/>
        <w:t xml:space="preserve">Die Piktogramme entsprechend DIN ISO 7010 (2x Mann in der Tür und zwei Pfeile) und werden  innenliegend, sowie Lösemittelfrei eingesteckt. </w:t>
      </w:r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212 mm x 31 mm x 141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3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-30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2,00 W W</w:t>
      </w:r>
    </w:p>
    <w:p>
      <w:pPr/>
      <w:r>
        <w:rPr/>
        <w:t xml:space="preserve">Leistung Bereitschaftsbetrieb: 0,4 W W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KFMU509CC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2C75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2026-07-18T06:58:46+02:00</dcterms:created>
  <dcterms:modified xsi:type="dcterms:W3CDTF">2026-07-18T06:58:46+02:00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