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(Wand/Decke). </w:t>
      </w:r>
      <w:br/>
      <w:r>
        <w:rPr/>
        <w:t xml:space="preserve">Geeignet für Dauer- oder Bereitschaftsschaltung. Planungssicherheit durch werkzeuglosen, variablen Einsatz der Piktogramme vor Ort. </w:t>
      </w:r>
      <w:br/>
      <w:r>
        <w:rPr/>
        <w:t xml:space="preserve">Die Piktogramme entsprechend DIN ISO 7010 (2x Mann in der Tür und zwei Pfeile) und werden  innenliegend, sowie Lösemittelfrei eingesteckt. 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212 mm x 31 mm x 141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2,00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KFMU509CC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6396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2026-09-17T06:06:46+02:00</dcterms:created>
  <dcterms:modified xsi:type="dcterms:W3CDTF">2026-09-17T06:06:46+02:00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