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Wandmontage.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durchgängigem, nicht sichtbarem Piktogrammhalter</w:t>
      </w:r>
      <w:br/>
      <w:r>
        <w:rPr/>
        <w:t xml:space="preserve">- Montagegehäuse bei allen A-Serienvarianten identisch.</w:t>
      </w:r>
      <w:br/>
      <w:br/>
      <w:r>
        <w:rPr/>
        <w:t xml:space="preserve">Geeignet für Dauer- oder Bereitschaftsschaltung. Planungssicherheit durch werkzeuglosen, variablen Einsatz der Piktogramme vor Ort. Ein Piktogramm gemäß DIN EN ISO 7010 und DIN ISO 3864 (links, rechts, unten, oben) ist im Lieferumfang enthalten. 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Ausführung mit automatischem Prüfsystem gemäß DIN EN 62034 Typ S inkl. Test-Taster SelfControl:</w:t>
      </w:r>
    </w:p>
    <w:p>
      <w:pPr>
        <w:numPr>
          <w:ilvl w:val="0"/>
          <w:numId w:val="2"/>
        </w:numPr>
      </w:pPr>
      <w:r>
        <w:rPr/>
        <w:t xml:space="preserve">Testergebnisse mit Störungsanalyse (Leuchtmittel, Lade- und Batteriekreis) sowie Statusanzeigen (Betrieb, Funktionstest, Betriebsdauertest) über 3 farbige LEDs</w:t>
      </w:r>
    </w:p>
    <w:p>
      <w:pPr>
        <w:numPr>
          <w:ilvl w:val="0"/>
          <w:numId w:val="2"/>
        </w:numPr>
      </w:pPr>
      <w:r>
        <w:rPr/>
        <w:t xml:space="preserve">Automatischer Funktionstest (wöchentlich)</w:t>
      </w:r>
    </w:p>
    <w:p>
      <w:pPr>
        <w:numPr>
          <w:ilvl w:val="0"/>
          <w:numId w:val="2"/>
        </w:numPr>
      </w:pPr>
      <w:r>
        <w:rPr/>
        <w:t xml:space="preserve">Automatischer Betriebsdauertest (alle 12 Monate)</w:t>
      </w:r>
    </w:p>
    <w:p>
      <w:pPr>
        <w:numPr>
          <w:ilvl w:val="0"/>
          <w:numId w:val="2"/>
        </w:numPr>
      </w:pPr>
      <w:r>
        <w:rPr/>
        <w:t xml:space="preserve">Automatische 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>
        <w:numPr>
          <w:ilvl w:val="0"/>
          <w:numId w:val="2"/>
        </w:numPr>
      </w:pPr>
      <w:r>
        <w:rPr/>
        <w:t xml:space="preserve">Leerlauf- und Kurzschlussabschaltung des Wechselrichters</w:t>
      </w:r>
    </w:p>
    <w:p>
      <w:pPr/>
      <w:r>
        <w:rPr/>
        <w:t xml:space="preserve">Material: Zink-Druckguss</w:t>
      </w:r>
    </w:p>
    <w:p>
      <w:pPr/>
      <w:r>
        <w:rPr/>
        <w:t xml:space="preserve">Farbe: RAL 9003</w:t>
      </w:r>
    </w:p>
    <w:p>
      <w:pPr/>
      <w:r>
        <w:rPr/>
        <w:t xml:space="preserve">Maße: 51 mm x 517 mm x 296 mm</w:t>
      </w:r>
    </w:p>
    <w:p>
      <w:pPr/>
    </w:p>
    <w:p>
      <w:pPr/>
      <w:r>
        <w:rPr/>
        <w:t xml:space="preserve">Montageart: Wandaufbau</w:t>
      </w:r>
    </w:p>
    <w:p>
      <w:pPr/>
      <w:r>
        <w:rPr/>
        <w:t xml:space="preserve">Schutzklasse: 2</w:t>
      </w:r>
    </w:p>
    <w:p>
      <w:pPr/>
      <w:r>
        <w:rPr/>
        <w:t xml:space="preserve">Schutzart (IP): IP 40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50m m</w:t>
      </w:r>
    </w:p>
    <w:p>
      <w:pPr/>
      <w:r>
        <w:rPr/>
        <w:t xml:space="preserve">Piktogramm: Einzeln n.A.</w:t>
      </w:r>
    </w:p>
    <w:p>
      <w:pPr/>
    </w:p>
    <w:p>
      <w:pPr/>
      <w:r>
        <w:rPr/>
        <w:t xml:space="preserve">Leistung Dauerbetrieb: 1,7 W W</w:t>
      </w:r>
    </w:p>
    <w:p>
      <w:pPr/>
      <w:r>
        <w:rPr/>
        <w:t xml:space="preserve">Leistung Bereitschaftsbetrieb: 0,9 W W</w:t>
      </w:r>
    </w:p>
    <w:p>
      <w:pPr/>
    </w:p>
    <w:p>
      <w:pPr/>
      <w:r>
        <w:rPr/>
        <w:t xml:space="preserve">Eingangsspannung AC: 250 V V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Artikelnummer: AGW408SC</w:t>
      </w:r>
    </w:p>
    <w:p>
      <w:pPr/>
    </w:p>
    <w:p>
      <w:pPr/>
      <w:r>
        <w:rPr/>
        <w:t xml:space="preserve">Zubehör: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05E32AF5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2026-10-12T05:30:37+02:00</dcterms:created>
  <dcterms:modified xsi:type="dcterms:W3CDTF">2026-10-12T05:30:37+02:00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