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Leistung Dauerbetrieb: 4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PMW408SC-TT</w:t>
      </w:r>
    </w:p>
    <w:p>
      <w:pPr/>
    </w:p>
    <w:p>
      <w:pPr/>
      <w:r>
        <w:rPr/>
        <w:t xml:space="preserve">Zubehör:</w:t>
      </w:r>
    </w:p>
    <w:p>
      <w:pPr/>
      <w:r>
        <w:rPr/>
        <w:t xml:space="preserve">Artikelnummer: PME, Einbaurahmen für Leuchtentyp PMW und  PMD</w:t>
      </w:r>
    </w:p>
    <w:p>
      <w:pPr/>
      <w:r>
        <w:rPr/>
        <w:t xml:space="preserve">Artikelnummer: LFPN3233.01-TT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C6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2026-08-24T06:55:39+02:00</dcterms:created>
  <dcterms:modified xsi:type="dcterms:W3CDTF">2026-08-24T06:55:39+02:00</dcterms:modified>
</cp:coreProperties>
</file>

<file path=docProps/custom.xml><?xml version="1.0" encoding="utf-8"?>
<Properties xmlns="http://schemas.openxmlformats.org/officeDocument/2006/custom-properties" xmlns:vt="http://schemas.openxmlformats.org/officeDocument/2006/docPropsVTypes"/>
</file>