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Die Notbeleuchtung erfolgt mittels einer zusätzlich integrierten Sicherheitsleuchte.  </w:t>
      </w:r>
      <w:br/>
      <w:r>
        <w:rPr/>
        <w:t xml:space="preserve">Gehäusefarbe nach Wahl alu-eloxiert oder weiß</w:t>
      </w:r>
      <w:br/>
      <w:r>
        <w:rPr/>
        <w:t xml:space="preserve">Lichtfarbe nach Wahl 4000K mit  Lichtstrom im Netzbetrieb 2300 lm oder 3000K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35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26,4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QAW421WB-SI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DBFF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2026-10-26T06:05:16+01:00</dcterms:created>
  <dcterms:modified xsi:type="dcterms:W3CDTF">2026-10-26T06:05:16+01:00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