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18 variable circuit modules, 2 charger modules (à 2.5A).</w:t>
      </w:r>
    </w:p>
    <w:p>
      <w:pPr/>
      <w:r>
        <w:rPr/>
        <w:t xml:space="preserve">fuse switch disconnector (D02) for mains and battery supply (Neozed D02), terminal cross-section by default 16mm².</w:t>
      </w:r>
    </w:p>
    <w:p>
      <w:pPr/>
      <w:r>
        <w:rPr/>
        <w:t xml:space="preserve">sheet steel cabinet with partially sealed electronics and battery compartments for up to 18 pieces of OGIV-batteries max. type RPower OGIV12450</w:t>
      </w:r>
    </w:p>
    <w:p>
      <w:pPr/>
      <w:r>
        <w:rPr/>
        <w:t xml:space="preserve">dimensions:	H=1,500mm, W=600mm, D=450mm</w:t>
      </w:r>
    </w:p>
    <w:p>
      <w:pPr/>
      <w:r>
        <w:rPr/>
        <w:t xml:space="preserve">protection level: 	electronics cabinet IP 20, </w:t>
      </w:r>
    </w:p>
    <w:p>
      <w:pPr/>
      <w:r>
        <w:rPr/>
        <w:t xml:space="preserve">	protection class I</w:t>
      </w:r>
    </w:p>
    <w:p>
      <w:pPr/>
      <w:r>
        <w:rPr/>
        <w:t xml:space="preserve">cable entry:	from top</w:t>
      </w:r>
    </w:p>
    <w:p>
      <w:pPr/>
      <w:r>
        <w:rPr/>
        <w:t xml:space="preserve">door hinges:	left, 2x double bit locking</w:t>
      </w:r>
    </w:p>
    <w:p>
      <w:pPr/>
      <w:r>
        <w:rPr/>
        <w:t xml:space="preserve">outside finishing: structural powder coating</w:t>
      </w:r>
    </w:p>
    <w:p>
      <w:pPr/>
      <w:r>
        <w:rPr/>
        <w:t xml:space="preserve">colour:	RAL 703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2026-05-12T07:56:08+02:00</dcterms:created>
  <dcterms:modified xsi:type="dcterms:W3CDTF">2026-05-12T07:56:08+02:00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