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For the integration of up to 24 variable circuit modules, 3 charger modules (à 2,5A) and max. 1 fuse-protected battery and mains output for sub-systems and sub-distributins.</w:t>
      </w:r>
    </w:p>
    <w:p>
      <w:pPr/>
      <w:r>
        <w:rPr/>
        <w:t xml:space="preserve">Larger system configurations require additional marshalling panels or bigger electronics cabinets.</w:t>
      </w:r>
    </w:p>
    <w:p>
      <w:pPr/>
      <w:r>
        <w:rPr/>
        <w:t xml:space="preserve">fuse switch disconnector (NH/D02) for mains and battery supply, terminal cross-section by default 16mm² (larger cross-sections 35mm²/50mm²/70mm² upon request).</w:t>
      </w:r>
    </w:p>
    <w:p>
      <w:pPr/>
      <w:r>
        <w:rPr/>
        <w:t xml:space="preserve">steel sheet wall-mounted cabinet</w:t>
      </w:r>
    </w:p>
    <w:p>
      <w:pPr/>
      <w:r>
        <w:rPr/>
        <w:t xml:space="preserve">dimensions: 	H=900mm,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version: 	with 4 wall holders or screwed to 	the battery cabinet (H900mm)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2026-05-12T07:49:49+02:00</dcterms:created>
  <dcterms:modified xsi:type="dcterms:W3CDTF">2026-05-12T07:49:49+02:00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