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 lights without interfering with internal wiring.</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Transparent</w:t>
      </w:r>
    </w:p>
    <w:p>
      <w:pPr/>
      <w:r>
        <w:rPr/>
        <w:t xml:space="preserve">Dimensions: 24 mm x 50 mm x 12 mm</w:t>
      </w:r>
    </w:p>
    <w:p>
      <w:pPr/>
    </w:p>
    <w:p>
      <w:pPr/>
      <w:r>
        <w:rPr/>
        <w:t xml:space="preserve">Mounting method: Universal</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2,8 W W</w:t>
      </w:r>
    </w:p>
    <w:p>
      <w:pPr/>
      <w:r>
        <w:rPr/>
        <w:t xml:space="preserve">Power non-maintained mode: 1,1 W W</w:t>
      </w:r>
    </w:p>
    <w:p>
      <w:pPr/>
      <w:r>
        <w:rPr/>
        <w:t xml:space="preserve">Luminous Flux Emergency Operation: 140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DOS029ML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D415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2026-10-23T05:46:46+02:00</dcterms:created>
  <dcterms:modified xsi:type="dcterms:W3CDTF">2026-10-23T05:46:46+02:00</dcterms:modified>
</cp:coreProperties>
</file>

<file path=docProps/custom.xml><?xml version="1.0" encoding="utf-8"?>
<Properties xmlns="http://schemas.openxmlformats.org/officeDocument/2006/custom-properties" xmlns:vt="http://schemas.openxmlformats.org/officeDocument/2006/docPropsVTypes"/>
</file>