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MCX</w:t>
      </w:r>
    </w:p>
    <w:p>
      <w:pPr/>
      <w:r>
        <w:rPr/>
        <w:t xml:space="preserve">MC centralised safety power supply system without power limitation in accordance with</w:t>
      </w:r>
    </w:p>
    <w:p>
      <w:pPr/>
      <w:r>
        <w:rPr/>
        <w:t xml:space="preserve">EN 50171 and BGV A3 for supplying 230V / 216V AC/DC safety and escape sign luminaires. Suitable for safety lighting systems in accordance with DIN VDE 0100-718, DIN VDE 0100-560, DIN EN 50172 and DIN V VDE V 0108-100.</w:t>
      </w:r>
    </w:p>
    <w:p>
      <w:pPr/>
      <w:r>
        <w:rPr/>
        <w:t xml:space="preserve">With automatic testing device and individual luminaire monitoring with individual status display per luminaire in the control section in conjunction with system-bound electronic ballasts including monitoring module without additional data line.</w:t>
      </w:r>
    </w:p>
    <w:p>
      <w:pPr/>
      <w:r>
        <w:rPr/>
        <w:t xml:space="preserve">Nominal operating time *: 1h; 3h; 8h * Please underline where applicable!</w:t>
      </w:r>
    </w:p>
    <w:p>
      <w:pPr/>
      <w:r>
        <w:rPr/>
        <w:t xml:space="preserve">Recharging time: 12 h</w:t>
      </w:r>
    </w:p>
    <w:p>
      <w:pPr/>
      <w:r>
        <w:rPr/>
        <w:t xml:space="preserve">Microprocessor control unit with DB25 Centronics printer interface and integrated IO module for signalling operating states and remote triggering of function tests and emergency light blocking.</w:t>
      </w:r>
    </w:p>
    <w:p>
      <w:pPr/>
      <w:r>
        <w:rPr/>
        <w:t xml:space="preserve">Charging device with microprocessor-controlled charging and the number of charging units required for standardised charging of the battery.</w:t>
      </w:r>
    </w:p>
    <w:p>
      <w:pPr/>
      <w:r>
        <w:rPr/>
        <w:t xml:space="preserve"> </w:t>
      </w:r>
    </w:p>
    <w:p>
      <w:pPr/>
      <w:r>
        <w:rPr/>
        <w:t xml:space="preserve">For holding up to max. 60 variable circuit modules, max. 3 charging modules (2.5A each).</w:t>
      </w:r>
    </w:p>
    <w:p>
      <w:pPr/>
      <w:r>
        <w:rPr/>
        <w:t xml:space="preserve">Load-break switch (D02) for mains and battery supply (Neozed D02), connection cross-section 16 mm² as standard.</w:t>
      </w:r>
    </w:p>
    <w:p>
      <w:pPr/>
      <w:r>
        <w:rPr/>
        <w:t xml:space="preserve"> </w:t>
      </w:r>
    </w:p>
    <w:p>
      <w:pPr/>
      <w:r>
        <w:rPr/>
        <w:t xml:space="preserve">Sheet steel combination cabinet, with partially partitioned electronics and battery compartment incl. 50 mm base, for up to 18 OGIV batteries max. 110 Ah</w:t>
      </w:r>
    </w:p>
    <w:p>
      <w:pPr/>
      <w:r>
        <w:rPr/>
        <w:t xml:space="preserve">Dimensions: H=1850 mm, W=800 mm, D=600 mm</w:t>
      </w:r>
    </w:p>
    <w:p>
      <w:pPr/>
      <w:r>
        <w:rPr/>
        <w:t xml:space="preserve">Protection class: Electronics cabinet IP 21, protection class I</w:t>
      </w:r>
    </w:p>
    <w:p>
      <w:pPr/>
      <w:r>
        <w:rPr/>
        <w:t xml:space="preserve">Cable entry: Standard from above</w:t>
      </w:r>
    </w:p>
    <w:p>
      <w:pPr/>
      <w:r>
        <w:rPr/>
        <w:t xml:space="preserve">Exterior finish: textured powder coating</w:t>
      </w:r>
    </w:p>
    <w:p>
      <w:pPr/>
      <w:r>
        <w:rPr/>
        <w:t xml:space="preserve">Colour: RAL 7035 light grey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2026-05-12T07:50:19+02:00</dcterms:created>
  <dcterms:modified xsi:type="dcterms:W3CDTF">2026-05-12T07:50:19+02:00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