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51 mm x 241 mm x 167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AMWT009ML</w:t>
      </w:r>
    </w:p>
    <w:p>
      <w:pPr/>
    </w:p>
    <w:p>
      <w:pPr/>
      <w:r>
        <w:rPr/>
        <w:t xml:space="preserve">Accessories:</w:t>
      </w:r>
    </w:p>
    <w:p>
      <w:pPr/>
      <w:r>
        <w:rPr/>
        <w:t xml:space="preserve">Article number: BALLPLX-AM, Ball protection 330x250x77mm incl. fastening Plexiglas clear for AMW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B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2026-07-22T07:03:49+02:00</dcterms:created>
  <dcterms:modified xsi:type="dcterms:W3CDTF">2026-07-22T07:03:49+02:00</dcterms:modified>
</cp:coreProperties>
</file>

<file path=docProps/custom.xml><?xml version="1.0" encoding="utf-8"?>
<Properties xmlns="http://schemas.openxmlformats.org/officeDocument/2006/custom-properties" xmlns:vt="http://schemas.openxmlformats.org/officeDocument/2006/docPropsVTypes"/>
</file>