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/ safety light in accordance to DIN EN 60598-1, DIN EN 60598-2-22 and DIN EN 1838. </w:t>
      </w:r>
      <w:br/>
      <w:r>
        <w:rPr/>
        <w:t xml:space="preserve">  </w:t>
      </w:r>
      <w:br/>
      <w:r>
        <w:rPr/>
        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
      </w:r>
      <w:br/>
      <w:r>
        <w:rPr/>
        <w:t xml:space="preserve">Evenly distributed illumination, due to the alligned and chromed reflector. Suitable for continuous mode or stand-by mode.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KCW013SC-IP64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DWKCW, ceiling bracket KC wall</w:t>
      </w:r>
    </w:p>
    <w:p>
      <w:pPr/>
      <w:r>
        <w:rPr/>
        <w:t xml:space="preserve">Article number: KC-IP65, KC gasket IP65 EPDM</w:t>
      </w:r>
    </w:p>
    <w:p>
      <w:pPr/>
      <w:r>
        <w:rPr/>
        <w:t xml:space="preserve">Article number: KCER, KCW recessed frame</w:t>
      </w:r>
    </w:p>
    <w:p>
      <w:pPr/>
      <w:r>
        <w:rPr/>
        <w:t xml:space="preserve">Article number: KCWFH, flexible wall mounting for KCW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80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2026-07-29T10:33:24+02:00</dcterms:created>
  <dcterms:modified xsi:type="dcterms:W3CDTF">2026-07-29T10:33:24+02:00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