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  <w:br/>
      <w:r>
        <w:rPr/>
        <w:t xml:space="preserve">The COOL light is equipped with an external battery housing for installation in the building. The installation of the lamp can be done outdoors or in cold stores.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-25 °C to 40 °C °C</w:t>
      </w:r>
    </w:p>
    <w:p>
      <w:pPr/>
      <w:r>
        <w:rPr/>
        <w:t xml:space="preserve">Allowed temperature BS: -25 °C to 40 °C °C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4,2 W W</w:t>
      </w:r>
    </w:p>
    <w:p>
      <w:pPr/>
      <w:r>
        <w:rPr/>
        <w:t xml:space="preserve">Power non-maintained mode: 0 W W</w:t>
      </w:r>
    </w:p>
    <w:p>
      <w:pPr/>
      <w:r>
        <w:rPr/>
        <w:t xml:space="preserve">Luminous Flux Emergency Operation: 335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1.5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KCW019-IP64-COOL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2026-07-21T06:56:00+02:00</dcterms:created>
  <dcterms:modified xsi:type="dcterms:W3CDTF">2026-07-21T06:56:00+02:00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