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according to DIN EN 60598-1, DIN EN 60598-2-22 and DIN EN 1838. </w:t>
      </w:r>
      <w:br/>
      <w:br/>
      <w:r>
        <w:rPr/>
        <w:t xml:space="preserve">The zinc die-cast lens is locked in place without any visible fastening from the outside. The status LED built into the lens integrates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53 mm x 193 mm x 115 mm</w:t>
      </w:r>
    </w:p>
    <w:p>
      <w:pPr/>
    </w:p>
    <w:p>
      <w:pPr/>
      <w:r>
        <w:rPr/>
        <w:t xml:space="preserve">Mounting method: Wandaufbau</w:t>
      </w:r>
    </w:p>
    <w:p>
      <w:pPr/>
      <w:r>
        <w:rPr/>
        <w:t xml:space="preserve">Protection class: 2</w:t>
      </w:r>
    </w:p>
    <w:p>
      <w:pPr/>
      <w:r>
        <w:rPr/>
        <w:t xml:space="preserve">Protection rating (IP): IP 20</w:t>
      </w:r>
    </w:p>
    <w:p>
      <w:pPr/>
      <w:r>
        <w:rPr/>
        <w:t xml:space="preserve">Impact restistence rate IK: IK 4</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3,6 W W</w:t>
      </w:r>
    </w:p>
    <w:p>
      <w:pPr/>
      <w:r>
        <w:rPr/>
        <w:t xml:space="preserve">Power non-maintained mode: 0,35 W W</w:t>
      </w:r>
    </w:p>
    <w:p>
      <w:pPr/>
      <w:r>
        <w:rPr/>
        <w:t xml:space="preserve">Luminous Flux Emergency Operation: 140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WAF028SC-AZ</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BCA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2026-07-24T02:25:36+02:00</dcterms:created>
  <dcterms:modified xsi:type="dcterms:W3CDTF">2026-07-24T02:25:36+02:00</dcterms:modified>
</cp:coreProperties>
</file>

<file path=docProps/custom.xml><?xml version="1.0" encoding="utf-8"?>
<Properties xmlns="http://schemas.openxmlformats.org/officeDocument/2006/custom-properties" xmlns:vt="http://schemas.openxmlformats.org/officeDocument/2006/docPropsVTypes"/>
</file>