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24 W</w:t></w:r></w:p><w:p><w:pPr/><w:r><w:rPr/><w:t xml:space="preserve">Input voltage AC: 220-240V / 50-60Hz V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2650 lm</w:t></w:r></w:p><w:p><w:pPr/><w:r><w:rPr/><w:t xml:space="preserve">Color temperature: 3000 K</w:t></w:r></w:p><w:p><w:pPr/><w:r><w:rPr/><w:t xml:space="preserve">UGR: 18.2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power supply: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2026-03-17T08:29:08+01:00</dcterms:created>
  <dcterms:modified xsi:type="dcterms:W3CDTF">2026-03-17T08:29:08+01:00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