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Polycarbonate</w:t>
      </w:r>
    </w:p>
    <w:p>
      <w:pPr/>
      <w:r>
        <w:rPr/>
        <w:t xml:space="preserve">Color: RAL 9003</w:t>
      </w:r>
    </w:p>
    <w:p>
      <w:pPr/>
      <w:r>
        <w:rPr/>
        <w:t xml:space="preserve">Dimensions: 86 mm x 390 mm x 99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9,7 W W</w:t>
      </w:r>
    </w:p>
    <w:p>
      <w:pPr/>
      <w:r>
        <w:rPr/>
        <w:t xml:space="preserve">Power non-maintained mode: 1,1 W W</w:t>
      </w:r>
    </w:p>
    <w:p>
      <w:pPr/>
      <w:r>
        <w:rPr/>
        <w:t xml:space="preserve">Luminous Flux Emergency Operation: 1050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KWIW039ML-OP</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30AF5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2026-09-24T05:38:06+02:00</dcterms:created>
  <dcterms:modified xsi:type="dcterms:W3CDTF">2026-09-24T05:38:06+02:00</dcterms:modified>
</cp:coreProperties>
</file>

<file path=docProps/custom.xml><?xml version="1.0" encoding="utf-8"?>
<Properties xmlns="http://schemas.openxmlformats.org/officeDocument/2006/custom-properties" xmlns:vt="http://schemas.openxmlformats.org/officeDocument/2006/docPropsVTypes"/>
</file>