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9003</w:t>
      </w:r>
    </w:p>
    <w:p>
      <w:pPr/>
      <w:r>
        <w:rPr/>
        <w:t xml:space="preserve">Dimensions: 166 mm x 21 mm x 106 mm</w:t>
      </w:r>
    </w:p>
    <w:p>
      <w:pPr/>
    </w:p>
    <w:p>
      <w:pPr/>
      <w:r>
        <w:rPr/>
        <w:t xml:space="preserve">Mounting method: Wandeinbau</w:t>
      </w:r>
    </w:p>
    <w:p>
      <w:pPr/>
      <w:r>
        <w:rPr/>
        <w:t xml:space="preserve">Protection class: 3</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0,4 W W</w:t>
      </w:r>
    </w:p>
    <w:p>
      <w:pPr/>
      <w:r>
        <w:rPr/>
        <w:t xml:space="preserve">Luminous Flux Emergency Operation: 420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WEF529CC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26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2026-07-10T05:22:35+02:00</dcterms:created>
  <dcterms:modified xsi:type="dcterms:W3CDTF">2026-07-10T05:22:35+02:00</dcterms:modified>
</cp:coreProperties>
</file>

<file path=docProps/custom.xml><?xml version="1.0" encoding="utf-8"?>
<Properties xmlns="http://schemas.openxmlformats.org/officeDocument/2006/custom-properties" xmlns:vt="http://schemas.openxmlformats.org/officeDocument/2006/docPropsVTypes"/>
</file>