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Mount*/brackets*).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use of the pictograms on-site.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3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2,1 W W</w:t>
      </w:r>
    </w:p>
    <w:p>
      <w:pPr/>
      <w:r>
        <w:rPr/>
        <w:t xml:space="preserve">Power non-maintained mode: 0,4 W W</w:t>
      </w:r>
    </w:p>
    <w:p>
      <w:pPr/>
      <w:r>
        <w:rPr/>
        <w:t xml:space="preserve">Luminous Flux Emergency Operation: 220 lm lm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KSC519CC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KS4FIRE, Pictoset Fire Fighting *NEUTRAL* 2x 4 pictograms  for KS, KSC, KBM, SD, RM, AM, AS</w:t>
      </w:r>
    </w:p>
    <w:p>
      <w:pPr/>
      <w:r>
        <w:rPr/>
        <w:t xml:space="preserve">Article number: KS4HELP, Pictoset First Aid *NEUTRAL* 2x 4 pictograms  for KS, KSC, KBM, SD, RM, AM, AS</w:t>
      </w:r>
    </w:p>
    <w:p>
      <w:pPr/>
      <w:r>
        <w:rPr/>
        <w:t xml:space="preserve">Article number: KME, KM recessed frame without test button (CBS)  ABS white for KM, KSU, KSC, KMB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305CE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2026-07-10T06:44:23+02:00</dcterms:created>
  <dcterms:modified xsi:type="dcterms:W3CDTF">2026-07-10T06:44:23+02:00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