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300 mm x 300 mm x 110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4</w:t>
      </w:r>
    </w:p>
    <w:p>
      <w:pPr/>
      <w:r>
        <w:rPr/>
        <w:t xml:space="preserve">Allowed temperature DS: 0 °C to 35 °C °C</w:t>
      </w:r>
    </w:p>
    <w:p>
      <w:pPr/>
      <w:r>
        <w:rPr/>
        <w:t xml:space="preserve">Allowed temperature BS: 0 °C to 35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5,7 W W</w:t>
      </w:r>
    </w:p>
    <w:p>
      <w:pPr/>
      <w:r>
        <w:rPr/>
        <w:t xml:space="preserve">Power non-maintained mode: 0,8 W W</w:t>
      </w:r>
    </w:p>
    <w:p>
      <w:pPr/>
      <w:r>
        <w:rPr/>
        <w:t xml:space="preserve">Luminous Flux Emergency Operation: 245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LFPN3233.01-SET</w:t>
      </w:r>
    </w:p>
    <w:p>
      <w:pPr/>
    </w:p>
    <w:p>
      <w:pPr/>
      <w:r>
        <w:rPr/>
        <w:t xml:space="preserve">Article number: WFXW418WL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LFP3233-SET-2AKKU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1804F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2026-07-15T06:01:33+02:00</dcterms:created>
  <dcterms:modified xsi:type="dcterms:W3CDTF">2026-07-15T06:01:33+02:00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