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65</w:t>
      </w:r>
    </w:p>
    <w:p>
      <w:pPr/>
      <w:r>
        <w:rPr/>
        <w:t xml:space="preserve">Impact restistence rate IK: IK 7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3,4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230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KAXU509CC</w:t>
      </w:r>
    </w:p>
    <w:p>
      <w:pPr/>
    </w:p>
    <w:p>
      <w:pPr/>
      <w:r>
        <w:rPr/>
        <w:t xml:space="preserve">Accessories: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92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2026-11-07T06:39:05+01:00</dcterms:created>
  <dcterms:modified xsi:type="dcterms:W3CDTF">2026-11-07T06:39:05+01:00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