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3,3 W W</w:t>
      </w:r>
    </w:p>
    <w:p>
      <w:pPr/>
      <w:r>
        <w:rPr/>
        <w:t xml:space="preserve">Power non-maintained mode: 0,4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KWID413SC</w:t>
      </w:r>
    </w:p>
    <w:p>
      <w:pPr/>
    </w:p>
    <w:p>
      <w:pPr/>
      <w:r>
        <w:rPr/>
        <w:t xml:space="preserve">Accessories:</w:t>
      </w:r>
    </w:p>
    <w:p>
      <w:pPr/>
      <w:r>
        <w:rPr/>
        <w:t xml:space="preserve">Article number: BKW, Ball protection (KW) 420x170x170mm RAL9010</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62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2026-07-24T06:40:06+02:00</dcterms:created>
  <dcterms:modified xsi:type="dcterms:W3CDTF">2026-07-24T06:40:06+02:00</dcterms:modified>
</cp:coreProperties>
</file>

<file path=docProps/custom.xml><?xml version="1.0" encoding="utf-8"?>
<Properties xmlns="http://schemas.openxmlformats.org/officeDocument/2006/custom-properties" xmlns:vt="http://schemas.openxmlformats.org/officeDocument/2006/docPropsVTypes"/>
</file>