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20 mm x 161 mm x 107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0,9 W W</w:t>
      </w:r>
    </w:p>
    <w:p>
      <w:pPr/>
      <w:r>
        <w:rPr/>
        <w:t xml:space="preserve">Luminous Flux Emergency Operation: 210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WEF421SC-AZ</w:t>
      </w:r>
    </w:p>
    <w:p>
      <w:pPr/>
    </w:p>
    <w:p>
      <w:pPr/>
      <w:r>
        <w:rPr/>
        <w:t xml:space="preserve">Accessories: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1B99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2026-10-21T06:46:52+02:00</dcterms:created>
  <dcterms:modified xsi:type="dcterms:W3CDTF">2026-10-21T06:46:52+02:00</dcterms:modified>
</cp:coreProperties>
</file>

<file path=docProps/custom.xml><?xml version="1.0" encoding="utf-8"?>
<Properties xmlns="http://schemas.openxmlformats.org/officeDocument/2006/custom-properties" xmlns:vt="http://schemas.openxmlformats.org/officeDocument/2006/docPropsVTypes"/>
</file>