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20 mm x 161 mm x 107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 W W</w:t>
      </w:r>
    </w:p>
    <w:p>
      <w:pPr/>
      <w:r>
        <w:rPr/>
        <w:t xml:space="preserve">Power non-maintained mode: 0,9 W W</w:t>
      </w:r>
    </w:p>
    <w:p>
      <w:pPr/>
      <w:r>
        <w:rPr/>
        <w:t xml:space="preserve">Luminous Flux Emergency Operation: 70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WEF428SC-AZ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06DC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2026-10-01T06:39:25+02:00</dcterms:created>
  <dcterms:modified xsi:type="dcterms:W3CDTF">2026-10-01T06:39:25+02:00</dcterms:modified>
</cp:coreProperties>
</file>

<file path=docProps/custom.xml><?xml version="1.0" encoding="utf-8"?>
<Properties xmlns="http://schemas.openxmlformats.org/officeDocument/2006/custom-properties" xmlns:vt="http://schemas.openxmlformats.org/officeDocument/2006/docPropsVTypes"/>
</file>