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lighting in accordance with DIN EN 60598-1, DIN EN 60598-2-22 and DIN EN 1838</w:t>
      </w:r>
      <w:br/>
      <w:br/>
      <w:r>
        <w:rPr/>
        <w:t xml:space="preserve">Elegant, round LED general light fitting made of aluminium for wall or ceiling mounting with emergency light insert.  </w:t>
      </w:r>
      <w:br/>
      <w:r>
        <w:rPr/>
        <w:t xml:space="preserve">Choice of aluminium anodised or white housing colour</w:t>
      </w:r>
      <w:br/>
      <w:r>
        <w:rPr/>
        <w:t xml:space="preserve">Choice of 4000 K or 3000 K light colour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</w:t>
      </w:r>
    </w:p>
    <w:p>
      <w:pPr/>
      <w:r>
        <w:rPr/>
        <w:t xml:space="preserve">Color: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30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27,2 W W</w:t>
      </w:r>
    </w:p>
    <w:p>
      <w:pPr/>
      <w:r>
        <w:rPr/>
        <w:t xml:space="preserve">Power non-maintained mode: 1,2 W W</w:t>
      </w:r>
    </w:p>
    <w:p>
      <w:pPr/>
      <w:r>
        <w:rPr/>
        <w:t xml:space="preserve">Luminous Flux Emergency Operation: 360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QAW029ML-WW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B7839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2026-07-16T05:19:57+02:00</dcterms:created>
  <dcterms:modified xsi:type="dcterms:W3CDTF">2026-07-16T05:19:57+02:00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