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2,3 W W</w:t></w:r></w:p><w:p><w:pPr/><w:r><w:rPr/><w:t xml:space="preserve">Power non-maintained mode: 0,3 W W</w:t></w:r></w:p><w:p><w:pPr/><w:r><w:rPr/><w:t xml:space="preserve">Luminous Flux Emergency Operation: 140 lm lm</w:t></w:r></w:p><w:p><w:pPr/></w:p><w:p><w:pPr/><w:r><w:rPr/><w:t xml:space="preserve">Connection terminals: 1,5 mm² mm</w:t></w:r></w:p><w:p><w:pPr/></w:p><w:p><w:pPr/><w:r><w:rPr/><w:t xml:space="preserve">Battery: LFPN3216.01</w:t></w:r></w:p><w:p><w:pPr/></w:p><w:p><w:pPr/><w:r><w:rPr/><w:t xml:space="preserve">Article number: PXWK403SC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E39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2026-09-28T06:08:32+02:00</dcterms:created>
  <dcterms:modified xsi:type="dcterms:W3CDTF">2026-09-28T06:08:32+02:00</dcterms:modified>
</cp:coreProperties>
</file>

<file path=docProps/custom.xml><?xml version="1.0" encoding="utf-8"?>
<Properties xmlns="http://schemas.openxmlformats.org/officeDocument/2006/custom-properties" xmlns:vt="http://schemas.openxmlformats.org/officeDocument/2006/docPropsVTypes"/>
</file>