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4,2 W W</w:t>
      </w:r>
    </w:p>
    <w:p>
      <w:pPr/>
      <w:r>
        <w:rPr/>
        <w:t xml:space="preserve">Puissance en mode veille: 0 W W</w:t>
      </w:r>
    </w:p>
    <w:p>
      <w:pPr/>
      <w:r>
        <w:rPr/>
        <w:t xml:space="preserve">Flux lumineux en mode de secours: 335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KEU019</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2026-09-25T05:36:14+02:00</dcterms:created>
  <dcterms:modified xsi:type="dcterms:W3CDTF">2026-09-25T05:36:14+02:00</dcterms:modified>
</cp:coreProperties>
</file>

<file path=docProps/custom.xml><?xml version="1.0" encoding="utf-8"?>
<Properties xmlns="http://schemas.openxmlformats.org/officeDocument/2006/custom-properties" xmlns:vt="http://schemas.openxmlformats.org/officeDocument/2006/docPropsVTypes"/>
</file>