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miniControl plus</w:t>
      </w:r>
    </w:p>
    <w:p>
      <w:pPr/>
      <w:r>
        <w:rPr/>
        <w:t xml:space="preserve">Système d'alimentation de secours centralisé MC sans limitation de puissance, conforme à la norme DIN EN 50171:2021 et à la réglementation DGUV 3, pour l'alimentation des luminaires de secours et de signalisation {{(P:20:56)}} / {{(P:20:55)}} CA/CC {{(P:20:50)}}.</w:t>
      </w:r>
    </w:p>
    <w:p>
      <w:pPr/>
      <w:r>
        <w:rPr/>
        <w:t xml:space="preserve">Adapté aux systèmes d'éclairage de secours conformes aux normes :</w:t>
      </w:r>
    </w:p>
    <w:p>
      <w:pPr/>
      <w:r>
        <w:rPr/>
        <w:t xml:space="preserve">• DIN VDE 0100-718:2014-06 (Exigences dans les zones d'exploitation spéciales – Éclairage de secours),</w:t>
      </w:r>
    </w:p>
    <w:p>
      <w:pPr/>
      <w:r>
        <w:rPr/>
        <w:t xml:space="preserve">• DIN VDE 0100-560:2022-10 (Alimentation de secours),</w:t>
      </w:r>
    </w:p>
    <w:p>
      <w:pPr/>
      <w:r>
        <w:rPr/>
        <w:t xml:space="preserve">• DIN EN 50172:2024-10 (VDE 0108-100:2024-10) (Systèmes d'éclairage de secours).</w:t>
      </w:r>
    </w:p>
    <w:p>
      <w:pPr/>
      <w:r>
        <w:rPr/>
        <w:t xml:space="preserve">Avec dispositif de test automatique et surveillance individuelle des luminaires, ainsi qu'affichage individuel de l'état de chaque luminaire dans l'unité de commande, en association avec des ballasts électroniques spécifiques au système, incluant un module de surveillance, sans ligne de données supplémentaire.</w:t>
      </w:r>
    </w:p>
    <w:p>
      <w:pPr/>
      <w:r>
        <w:rPr/>
        <w:t xml:space="preserve">Autonomie nominale / Puissance connectée maximale :</w:t>
      </w:r>
    </w:p>
    <w:p>
      <w:pPr/>
      <w:r>
        <w:rPr/>
        <w:t xml:space="preserve">○ 1 h / max. {{(P:20:130)}}</w:t>
      </w:r>
    </w:p>
    <w:p>
      <w:pPr/>
      <w:r>
        <w:rPr/>
        <w:t xml:space="preserve">○ 3 h / max. {{(P:20:131)}}</w:t>
      </w:r>
    </w:p>
    <w:p>
      <w:pPr/>
      <w:r>
        <w:rPr/>
        <w:t xml:space="preserve">○ 8 h / max. {{(P:20:132)}}</w:t>
      </w:r>
    </w:p>
    <w:p>
      <w:pPr/>
      <w:r>
        <w:rPr/>
        <w:t xml:space="preserve">Temps de recharge : 12 h</w:t>
      </w:r>
    </w:p>
    <w:p>
      <w:pPr/>
      <w:r>
        <w:rPr/>
        <w:t xml:space="preserve">Composé de :</w:t>
      </w:r>
    </w:p>
    <w:p>
      <w:pPr/>
      <w:r>
        <w:rPr/>
        <w:t xml:space="preserve">Unité de commande à microprocesseur avec module d'E/S intégré pour la signalisation des états de fonctionnement, le déclenchement à distance des tests de fonctionnement et le blocage de l'éclairage de secours.</w:t>
      </w:r>
    </w:p>
    <w:p>
      <w:pPr/>
      <w:r>
        <w:rPr/>
        <w:t xml:space="preserve">Chargeur avec microprocesseur pour une charge de batterie conforme aux normes.</w:t>
      </w:r>
    </w:p>
    <w:p>
      <w:pPr/>
      <w:r>
        <w:rPr/>
        <w:t xml:space="preserve">Éclairage intérieur de l'armoire de commande intégré.</w:t>
      </w:r>
    </w:p>
    <w:p>
      <w:pPr/>
      <w:r>
        <w:rPr/>
        <w:t xml:space="preserve">Pour accueillir jusqu'à 6 modules de circuit variable DCM, chacun avec 2 circuits, et un module de charge de 1,0 A maximum.</w:t>
      </w:r>
    </w:p>
    <w:p>
      <w:pPr/>
      <w:r>
        <w:rPr/>
        <w:t xml:space="preserve">{{(P:6:24)}}- {{(P:19:239)}}, avec électronique partiellement étanche et compartiment à batterie pouvant accueillir jusqu'à 18 batteries OGIV, max. 17 Ah</w:t>
      </w:r>
    </w:p>
    <w:p>
      <w:pPr/>
      <w:r>
        <w:rPr/>
        <w:t xml:space="preserve">Dimensions : H = {{(P:1:2)}}, l = {{(P:1:1)}}, P = {{(P:1:8)}}</w:t>
      </w:r>
    </w:p>
    <w:p>
      <w:pPr/>
      <w:r>
        <w:rPr/>
        <w:t xml:space="preserve">Classe de protection : {{(P:19:239)}} {{(P:18:31)}}, {{(P:18:32)}}, support mural inclus</w:t>
      </w:r>
    </w:p>
    <w:p>
      <w:pPr/>
      <w:r>
        <w:rPr/>
        <w:t xml:space="preserve">Entrée de câble : Standard par le haut</w:t>
      </w:r>
    </w:p>
    <w:p>
      <w:pPr/>
      <w:r>
        <w:rPr/>
        <w:t xml:space="preserve">Finition extérieure : Revêtement thermolaqué texturé</w:t>
      </w:r>
    </w:p>
    <w:p>
      <w:pPr/>
      <w:r>
        <w:rPr/>
        <w:t xml:space="preserve">Couleur : {{(P:5:23)}}</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2026-10-25T07:04:21+01:00</dcterms:created>
  <dcterms:modified xsi:type="dcterms:W3CDTF">2026-10-25T07:04:21+01:00</dcterms:modified>
</cp:coreProperties>
</file>

<file path=docProps/custom.xml><?xml version="1.0" encoding="utf-8"?>
<Properties xmlns="http://schemas.openxmlformats.org/officeDocument/2006/custom-properties" xmlns:vt="http://schemas.openxmlformats.org/officeDocument/2006/docPropsVTypes"/>
</file>