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pour un montage universel au mur/au plafond, ainsi qu'une console murale avec l'adaptateur fourni. Avec sortie de lumière supplémentaire vers le bas. Boîtier s'ouvrant sans outils. Convient pour l'éclairage permanent ou de veille. Sécurité de planification grâce à l'utilisation variable et sans outil des pictogrammes sur place. Jeu de pictogrammes (gauche, droite, bas, haut) compris dans la livraison standard. </w:t>
      </w:r>
    </w:p>
    <w:p>
      <w:pPr/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70 mm x 260 mm x 155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43</w:t>
      </w:r>
    </w:p>
    <w:p>
      <w:pPr/>
      <w:r>
        <w:rPr/>
        <w:t xml:space="preserve">Degré de résistance aux chocs IK: IK 3</w:t>
      </w:r>
    </w:p>
    <w:p>
      <w:pPr/>
      <w:r>
        <w:rPr/>
        <w:t xml:space="preserve">Température permise en mode contenu: -25 °C à 40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Distance de reconnaissance: 22m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KDU019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BALL1, 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2DW-EB</w:t>
      </w:r>
    </w:p>
    <w:p>
      <w:pPr/>
      <w:r>
        <w:rPr/>
        <w:t xml:space="preserve">Numéro d'article: BALLPLX-KD,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2026-07-10T06:47:53+02:00</dcterms:created>
  <dcterms:modified xsi:type="dcterms:W3CDTF">2026-07-10T06:47:53+02:00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