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pour montage mural ou au plafond, avec capot sécurisé par des vis.</w:t>
      </w:r>
      <w:br/>
      <w:r>
        <w:rPr/>
        <w:t xml:space="preserve">Convient pour un 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370 mm x 105 mm x 152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5</w:t>
      </w:r>
    </w:p>
    <w:p>
      <w:pPr/>
      <w:r>
        <w:rPr/>
        <w:t xml:space="preserve">Température permise en mode contenu: -25 °C à 40 °C °C</w:t>
      </w:r>
    </w:p>
    <w:p>
      <w:pPr/>
      <w:r>
        <w:rPr/>
        <w:t xml:space="preserve">Température permise en mode veille: -25 °C à 40 °C °C</w:t>
      </w:r>
    </w:p>
    <w:p>
      <w:pPr/>
      <w:r>
        <w:rPr/>
        <w:t xml:space="preserve">Distance de reconnaissance: 24m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PFW019</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2026-09-24T05:36:08+02:00</dcterms:created>
  <dcterms:modified xsi:type="dcterms:W3CDTF">2026-09-24T05:36:08+02:00</dcterms:modified>
</cp:coreProperties>
</file>

<file path=docProps/custom.xml><?xml version="1.0" encoding="utf-8"?>
<Properties xmlns="http://schemas.openxmlformats.org/officeDocument/2006/custom-properties" xmlns:vt="http://schemas.openxmlformats.org/officeDocument/2006/docPropsVTypes"/>
</file>