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3,3 W W</w:t>
      </w:r>
    </w:p>
    <w:p>
      <w:pPr/>
      <w:r>
        <w:rPr/>
        <w:t xml:space="preserve">Puissance en mode veille: 1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LFP3233.01, {{Produkt - BatteryPerformance - BatteryTechnology (P:17:110)}} Batterie</w:t>
      </w:r>
    </w:p>
    <w:p>
      <w:pPr/>
    </w:p>
    <w:p>
      <w:pPr/>
      <w:r>
        <w:rPr/>
        <w:t xml:space="preserve">Numéro d'article: KMB013SC</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365E5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2026-09-21T05:45:03+02:00</dcterms:created>
  <dcterms:modified xsi:type="dcterms:W3CDTF">2026-09-21T05:45:03+02:00</dcterms:modified>
</cp:coreProperties>
</file>

<file path=docProps/custom.xml><?xml version="1.0" encoding="utf-8"?>
<Properties xmlns="http://schemas.openxmlformats.org/officeDocument/2006/custom-properties" xmlns:vt="http://schemas.openxmlformats.org/officeDocument/2006/docPropsVTypes"/>
</file>