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MultiControl MCX</w:t>
      </w:r>
    </w:p>
    <w:p>
      <w:pPr/>
      <w:r>
        <w:rPr/>
        <w:t xml:space="preserve">Système centralisé d'alimentation électrique de sécurité MC sans limitation de puissance selon </w:t>
      </w:r>
    </w:p>
    <w:p>
      <w:pPr/>
      <w:r>
        <w:rPr/>
        <w:t xml:space="preserve">EN 50171 et BGV A3 pour l'alimentation de luminaires de sécurité et de signalisation de secours 230 V / 216 V CA/CC. Convient aux installations d'éclairage de sécurité selon DIN VDE 0100-718, DIN VDE 0100-560, DIN EN 50172 et DIN V VDE V 0108-100. </w:t>
      </w:r>
    </w:p>
    <w:p>
      <w:pPr/>
      <w:r>
        <w:rPr/>
        <w:t xml:space="preserve">Avec dispositif de contrôle automatique et surveillance individuelle des luminaires avec affichage individuel de l'état de chaque luminaire dans la partie commande, en liaison avec des ballasts électroniques liés au système, y compris module de surveillance, sans ligne de données supplémentaire. </w:t>
      </w:r>
    </w:p>
    <w:p>
      <w:pPr/>
      <w:r>
        <w:rPr/>
        <w:t xml:space="preserve">Durée de fonctionnement nominale * : 1 h ; 3 h ; 8 h * Veuillez souligner la réponse appropriée ! </w:t>
      </w:r>
    </w:p>
    <w:p>
      <w:pPr/>
      <w:r>
        <w:rPr/>
        <w:t xml:space="preserve">Temps de recharge : 12 h</w:t>
      </w:r>
    </w:p>
    <w:p>
      <w:pPr/>
      <w:r>
        <w:rPr/>
        <w:t xml:space="preserve">Unité de commande à microprocesseur avec interface d'imprimante DB25 Centronics et module IO intégré pour la transmission des états de fonctionnement et le déclenchement à distance des tests de fonctionnement et du blocage de l'éclairage de secours.</w:t>
      </w:r>
    </w:p>
    <w:p>
      <w:pPr/>
      <w:r>
        <w:rPr/>
        <w:t xml:space="preserve">Dispositif de charge avec charge commandée par microprocesseur et nombre de chargeurs nécessaires pour une charge conforme aux normes de la batterie.</w:t>
      </w:r>
    </w:p>
    <w:p>
      <w:pPr/>
      <w:r>
        <w:rPr/>
        <w:t xml:space="preserve"> </w:t>
      </w:r>
    </w:p>
    <w:p>
      <w:pPr/>
      <w:r>
        <w:rPr/>
        <w:t xml:space="preserve">Pour accueillir jusqu'à 60 modules de circuit variables max., 3 modules de charge max. (à 2,5 A).</w:t>
      </w:r>
    </w:p>
    <w:p>
      <w:pPr/>
      <w:r>
        <w:rPr/>
        <w:t xml:space="preserve">Sectionneur de charge (D02) pour l'alimentation secteur et batterie (Neozed D02), section de raccordement standard 16 mm².</w:t>
      </w:r>
    </w:p>
    <w:p>
      <w:pPr/>
      <w:r>
        <w:rPr/>
        <w:t xml:space="preserve">Armoire combinée en tôle d'acier, avec compartiment électronique et compartiment batterie partiellement cloisonnés, socle de 50 mm inclus, pouvant accueillir jusqu'à 18 batteries OGIV de 110 Ah max.</w:t>
      </w:r>
    </w:p>
    <w:p>
      <w:pPr/>
      <w:r>
        <w:rPr/>
        <w:t xml:space="preserve">Dimensions :    H = 1 850 mm, L = 800 mm, P = 600 mm</w:t>
      </w:r>
    </w:p>
    <w:p>
      <w:pPr/>
      <w:r>
        <w:rPr/>
        <w:t xml:space="preserve">Indice de protection : armoire électronique IP 21, classe de protection I</w:t>
      </w:r>
    </w:p>
    <w:p>
      <w:pPr/>
      <w:r>
        <w:rPr/>
        <w:t xml:space="preserve">Entrée de câble : standard par le haut</w:t>
      </w:r>
    </w:p>
    <w:p>
      <w:pPr/>
      <w:r>
        <w:rPr/>
        <w:t xml:space="preserve">Peinture extérieure : peinture en poudre structurée</w:t>
      </w:r>
    </w:p>
    <w:p>
      <w:pPr/>
      <w:r>
        <w:rPr/>
        <w:t xml:space="preserve">Couleur : RAL 7035 gris clair</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2026-05-12T07:50:35+02:00</dcterms:created>
  <dcterms:modified xsi:type="dcterms:W3CDTF">2026-05-12T07:50:35+02:00</dcterms:modified>
</cp:coreProperties>
</file>

<file path=docProps/custom.xml><?xml version="1.0" encoding="utf-8"?>
<Properties xmlns="http://schemas.openxmlformats.org/officeDocument/2006/custom-properties" xmlns:vt="http://schemas.openxmlformats.org/officeDocument/2006/docPropsVTypes"/>
</file>