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w:t>
      </w:r>
      <w:br/>
      <w:br/>
      <w:r>
        <w:rPr/>
        <w:t xml:space="preserve">Luminaire cubique en plastique avec un capot sans cadre et un bac de montage dissimulé en tôle d'acier galvanisée. </w:t>
      </w:r>
      <w:br/>
      <w:r>
        <w:rPr/>
        <w:t xml:space="preserve"> </w:t>
      </w: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Wandaufbau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WGW011WL</w:t>
      </w:r>
    </w:p>
    <w:p>
      <w:pPr/>
    </w:p>
    <w:p>
      <w:pPr/>
      <w:r>
        <w:rPr/>
        <w:t xml:space="preserve">Accessoires:</w:t>
      </w:r>
    </w:p>
    <w:p>
      <w:pPr/>
      <w:r>
        <w:rPr/>
        <w:t xml:space="preserve">Numéro d'article: WKO,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B8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2025-09-05T11:17:39+02:00</dcterms:created>
  <dcterms:modified xsi:type="dcterms:W3CDTF">2025-09-05T11:17:39+02:00</dcterms:modified>
</cp:coreProperties>
</file>

<file path=docProps/custom.xml><?xml version="1.0" encoding="utf-8"?>
<Properties xmlns="http://schemas.openxmlformats.org/officeDocument/2006/custom-properties" xmlns:vt="http://schemas.openxmlformats.org/officeDocument/2006/docPropsVTypes"/>
</file>