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/ de sécurité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mural. Luminaire à pictogramme avec jeu de pictogrammes enfichables, sans solvant, à l'intérieur (gauche, droite, bas, haut), compris dans la livraison standard. Utilisable simultanément comme luminaire de sécurité sans utilisation des pictogrammes avec le cache transparent inclus. </w:t>
      </w:r>
      <w:br/>
      <w:r>
        <w:rPr/>
        <w:t xml:space="preserve">Éclairage uniforme grâce à un réflecteur orienté et chromé. Convient pour un allumage permanent ou en mode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7,5 W W</w:t>
      </w:r>
    </w:p>
    <w:p>
      <w:pPr/>
      <w:r>
        <w:rPr/>
        <w:t xml:space="preserve">Puissance en mode veille: 3,6 W W</w:t>
      </w:r>
    </w:p>
    <w:p>
      <w:pPr/>
      <w:r>
        <w:rPr/>
        <w:t xml:space="preserve">Flux lumineux en mode de secours: 150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NIMH1208P, {{Produkt - BatteryPerformance - BatteryTechnology (P:17:110)}} Batterie</w:t>
      </w:r>
    </w:p>
    <w:p>
      <w:pPr/>
    </w:p>
    <w:p>
      <w:pPr/>
      <w:r>
        <w:rPr/>
        <w:t xml:space="preserve">Numéro d'article: KCW013WL-IP65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DWKCW, </w:t>
      </w:r>
    </w:p>
    <w:p>
      <w:pPr/>
      <w:r>
        <w:rPr/>
        <w:t xml:space="preserve">Numéro d'article: KC-IP65,  </w:t>
      </w:r>
    </w:p>
    <w:p>
      <w:pPr/>
      <w:r>
        <w:rPr/>
        <w:t xml:space="preserve">Numéro d'article: KCER,  </w:t>
      </w:r>
    </w:p>
    <w:p>
      <w:pPr/>
      <w:r>
        <w:rPr/>
        <w:t xml:space="preserve">Numéro d'article: KCWFH,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AA14B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2025-09-05T11:24:56+02:00</dcterms:created>
  <dcterms:modified xsi:type="dcterms:W3CDTF">2025-09-05T11:24:56+02:00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