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Métal</w:t>
      </w:r>
    </w:p>
    <w:p>
      <w:pPr/>
      <w:r>
        <w:rPr/>
        <w:t xml:space="preserve">Couleur: RAL 9003</w:t>
      </w:r>
    </w:p>
    <w:p>
      <w:pPr/>
      <w:r>
        <w:rPr/>
        <w:t xml:space="preserve">Dimensions: 620 mm x 620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38 W W</w:t>
      </w:r>
    </w:p>
    <w:p>
      <w:pPr/>
      <w:r>
        <w:rPr/>
        <w:t xml:space="preserve">Puissance en mode veille: 1,5 W W</w:t>
      </w:r>
    </w:p>
    <w:p>
      <w:pPr/>
      <w:r>
        <w:rPr/>
        <w:t xml:space="preserve">Flux lumineux en mode de secours: 3600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ROPA4201ML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B8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2026-07-04T02:26:04+02:00</dcterms:created>
  <dcterms:modified xsi:type="dcterms:W3CDTF">2026-07-04T02:26:04+02:00</dcterms:modified>
</cp:coreProperties>
</file>

<file path=docProps/custom.xml><?xml version="1.0" encoding="utf-8"?>
<Properties xmlns="http://schemas.openxmlformats.org/officeDocument/2006/custom-properties" xmlns:vt="http://schemas.openxmlformats.org/officeDocument/2006/docPropsVTypes"/>
</file>