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mural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Zinc moulé sous pression</w:t>
      </w:r>
    </w:p>
    <w:p>
      <w:pPr/>
      <w:r>
        <w:rPr/>
        <w:t xml:space="preserve">Couleur: RAL 7016</w:t>
      </w:r>
    </w:p>
    <w:p>
      <w:pPr/>
      <w:r>
        <w:rPr/>
        <w:t xml:space="preserve">Dimensions: 46 mm x 236 mm x 136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21m m</w:t>
      </w:r>
    </w:p>
    <w:p>
      <w:pPr/>
      <w:r>
        <w:rPr/>
        <w:t xml:space="preserve">Pictogramme: Set</w:t>
      </w:r>
    </w:p>
    <w:p>
      <w:pPr/>
    </w:p>
    <w:p>
      <w:pPr/>
      <w:r>
        <w:rPr/>
        <w:t xml:space="preserve">Puissance en mode continu: 2,5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MMW009-AZ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2026-07-31T07:46:33+02:00</dcterms:created>
  <dcterms:modified xsi:type="dcterms:W3CDTF">2026-07-31T07:46:33+02:00</dcterms:modified>
</cp:coreProperties>
</file>

<file path=docProps/custom.xml><?xml version="1.0" encoding="utf-8"?>
<Properties xmlns="http://schemas.openxmlformats.org/officeDocument/2006/custom-properties" xmlns:vt="http://schemas.openxmlformats.org/officeDocument/2006/docPropsVTypes"/>
</file>